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5E5" w:rsidRPr="0087033B" w:rsidRDefault="00BF6482">
      <w:pPr>
        <w:rPr>
          <w:b/>
          <w:bCs/>
          <w:sz w:val="32"/>
          <w:szCs w:val="32"/>
        </w:rPr>
      </w:pPr>
      <w:r w:rsidRPr="0087033B">
        <w:rPr>
          <w:b/>
          <w:bCs/>
          <w:sz w:val="32"/>
          <w:szCs w:val="32"/>
        </w:rPr>
        <w:t>“SPESD” for Biocidal Product Uses</w:t>
      </w:r>
    </w:p>
    <w:p w:rsidR="00BF6482" w:rsidRDefault="00BF6482"/>
    <w:p w:rsidR="00802DF5" w:rsidRPr="00802DF5" w:rsidRDefault="00802DF5" w:rsidP="00802DF5">
      <w:pPr>
        <w:rPr>
          <w:b/>
          <w:bCs/>
        </w:rPr>
      </w:pPr>
      <w:r w:rsidRPr="00802DF5">
        <w:rPr>
          <w:b/>
          <w:bCs/>
        </w:rPr>
        <w:t>Problem formulation:</w:t>
      </w:r>
    </w:p>
    <w:p w:rsidR="00802DF5" w:rsidRPr="00802DF5" w:rsidRDefault="00802DF5" w:rsidP="00802DF5">
      <w:pPr>
        <w:jc w:val="both"/>
      </w:pPr>
      <w:r>
        <w:t xml:space="preserve">Under BPR (Biocidal Product Regulation), </w:t>
      </w:r>
      <w:r w:rsidRPr="00802DF5">
        <w:t xml:space="preserve">Emission </w:t>
      </w:r>
      <w:r>
        <w:t>S</w:t>
      </w:r>
      <w:r w:rsidRPr="00802DF5">
        <w:t xml:space="preserve">cenario </w:t>
      </w:r>
      <w:r>
        <w:t>D</w:t>
      </w:r>
      <w:r w:rsidRPr="00802DF5">
        <w:t>ocuments (ESDs) are used to estimate the initial release of substances from biocidal products (or treated materials) to the environment.</w:t>
      </w:r>
      <w:r>
        <w:t xml:space="preserve"> </w:t>
      </w:r>
      <w:r w:rsidRPr="00802DF5">
        <w:t xml:space="preserve">ESDs for several product types </w:t>
      </w:r>
      <w:r>
        <w:t xml:space="preserve">(PT) </w:t>
      </w:r>
      <w:r w:rsidRPr="00802DF5">
        <w:t>were developed in the EUBEES projects. In addition, ESDs for some product types were developed by the OECD.</w:t>
      </w:r>
    </w:p>
    <w:p w:rsidR="00802DF5" w:rsidRDefault="0087033B" w:rsidP="0087033B">
      <w:pPr>
        <w:jc w:val="both"/>
      </w:pPr>
      <w:r>
        <w:t xml:space="preserve">The </w:t>
      </w:r>
      <w:r w:rsidRPr="0087033B">
        <w:rPr>
          <w:u w:val="single"/>
        </w:rPr>
        <w:t>ESDs are in several cases overly conservative</w:t>
      </w:r>
      <w:r>
        <w:t xml:space="preserve"> leading to initial risk estimation and, as a consequence, higher tier release estimation is required. These </w:t>
      </w:r>
      <w:r w:rsidRPr="0087033B">
        <w:rPr>
          <w:u w:val="single"/>
        </w:rPr>
        <w:t xml:space="preserve">higher tier release estimations are often </w:t>
      </w:r>
      <w:r>
        <w:rPr>
          <w:u w:val="single"/>
        </w:rPr>
        <w:t>not accepted</w:t>
      </w:r>
      <w:r>
        <w:t xml:space="preserve"> by </w:t>
      </w:r>
      <w:proofErr w:type="spellStart"/>
      <w:r>
        <w:t>eCA</w:t>
      </w:r>
      <w:proofErr w:type="spellEnd"/>
      <w:r>
        <w:t xml:space="preserve"> (evaluating Competent Authorities) in single company BP dossier submission</w:t>
      </w:r>
      <w:r w:rsidR="00691E4A">
        <w:t>s</w:t>
      </w:r>
      <w:r>
        <w:t>.</w:t>
      </w:r>
    </w:p>
    <w:p w:rsidR="00802DF5" w:rsidRDefault="00802DF5" w:rsidP="00802DF5"/>
    <w:p w:rsidR="0087033B" w:rsidRPr="0087033B" w:rsidRDefault="0087033B" w:rsidP="00802DF5">
      <w:pPr>
        <w:rPr>
          <w:b/>
          <w:bCs/>
        </w:rPr>
      </w:pPr>
      <w:r w:rsidRPr="0087033B">
        <w:rPr>
          <w:b/>
          <w:bCs/>
        </w:rPr>
        <w:t>Objective:</w:t>
      </w:r>
    </w:p>
    <w:p w:rsidR="0087033B" w:rsidRDefault="0087033B" w:rsidP="00691E4A">
      <w:pPr>
        <w:jc w:val="both"/>
      </w:pPr>
      <w:r>
        <w:t>To develop Sector Specific ESD (called “SPESD” for now)</w:t>
      </w:r>
      <w:r w:rsidR="00DB34D2">
        <w:t xml:space="preserve"> which</w:t>
      </w:r>
    </w:p>
    <w:p w:rsidR="00802DF5" w:rsidRDefault="00DB34D2" w:rsidP="00691E4A">
      <w:pPr>
        <w:pStyle w:val="ListParagraph"/>
        <w:numPr>
          <w:ilvl w:val="0"/>
          <w:numId w:val="1"/>
        </w:numPr>
        <w:jc w:val="both"/>
      </w:pPr>
      <w:r>
        <w:t xml:space="preserve">Provide </w:t>
      </w:r>
      <w:r w:rsidRPr="00691E4A">
        <w:rPr>
          <w:u w:val="single"/>
        </w:rPr>
        <w:t>more realistic</w:t>
      </w:r>
      <w:r>
        <w:t xml:space="preserve"> (but still sufficiently conservative) amounts used, </w:t>
      </w:r>
      <w:r>
        <w:t>conditions of use</w:t>
      </w:r>
      <w:r>
        <w:t xml:space="preserve"> and/or </w:t>
      </w:r>
      <w:r w:rsidR="00802DF5" w:rsidRPr="00802DF5">
        <w:t>release fractions for Biocides scenarios</w:t>
      </w:r>
    </w:p>
    <w:p w:rsidR="00DB34D2" w:rsidRPr="00802DF5" w:rsidRDefault="00893D2A" w:rsidP="00691E4A">
      <w:pPr>
        <w:pStyle w:val="ListParagraph"/>
        <w:numPr>
          <w:ilvl w:val="0"/>
          <w:numId w:val="1"/>
        </w:numPr>
        <w:jc w:val="both"/>
      </w:pPr>
      <w:r>
        <w:t>A</w:t>
      </w:r>
      <w:r w:rsidR="00DB34D2">
        <w:t xml:space="preserve">re </w:t>
      </w:r>
      <w:r w:rsidR="00DB34D2" w:rsidRPr="00691E4A">
        <w:rPr>
          <w:u w:val="single"/>
        </w:rPr>
        <w:t>managed</w:t>
      </w:r>
      <w:r>
        <w:rPr>
          <w:u w:val="single"/>
        </w:rPr>
        <w:t>, improved</w:t>
      </w:r>
      <w:r w:rsidR="00DB34D2" w:rsidRPr="00691E4A">
        <w:rPr>
          <w:u w:val="single"/>
        </w:rPr>
        <w:t xml:space="preserve"> </w:t>
      </w:r>
      <w:r>
        <w:rPr>
          <w:u w:val="single"/>
        </w:rPr>
        <w:t xml:space="preserve">and maintained </w:t>
      </w:r>
      <w:r w:rsidR="00DB34D2" w:rsidRPr="00691E4A">
        <w:rPr>
          <w:u w:val="single"/>
        </w:rPr>
        <w:t>by a sector</w:t>
      </w:r>
      <w:r w:rsidR="00DB34D2">
        <w:t xml:space="preserve"> and reported in sector documents which can be challenged and accepted by authorities</w:t>
      </w:r>
    </w:p>
    <w:p w:rsidR="00802DF5" w:rsidRDefault="00802DF5" w:rsidP="00802DF5"/>
    <w:p w:rsidR="00DB34D2" w:rsidRPr="00FB37EE" w:rsidRDefault="00FB37EE" w:rsidP="00802DF5">
      <w:pPr>
        <w:rPr>
          <w:b/>
          <w:bCs/>
        </w:rPr>
      </w:pPr>
      <w:r w:rsidRPr="00FB37EE">
        <w:rPr>
          <w:b/>
          <w:bCs/>
        </w:rPr>
        <w:t>Learning lessons from SPERCs under REACH</w:t>
      </w:r>
    </w:p>
    <w:p w:rsidR="00802DF5" w:rsidRDefault="0027354E" w:rsidP="00691E4A">
      <w:pPr>
        <w:jc w:val="both"/>
      </w:pPr>
      <w:r>
        <w:t>Under REACH,</w:t>
      </w:r>
      <w:r w:rsidR="00802DF5">
        <w:t xml:space="preserve"> </w:t>
      </w:r>
      <w:r w:rsidR="00691E4A">
        <w:t xml:space="preserve">Sector Specific Environmental Release Categories or </w:t>
      </w:r>
      <w:r w:rsidR="00802DF5">
        <w:t>SPERCs</w:t>
      </w:r>
      <w:r w:rsidR="00691E4A">
        <w:t xml:space="preserve"> were developed to improve the environmental risk assessment</w:t>
      </w:r>
      <w:r w:rsidR="00802DF5">
        <w:t xml:space="preserve"> (and SWEDs, SCEDs</w:t>
      </w:r>
      <w:r w:rsidR="00691E4A">
        <w:t xml:space="preserve"> for respectively worker and consumer risk assessment</w:t>
      </w:r>
      <w:r w:rsidR="00802DF5">
        <w:t>)</w:t>
      </w:r>
      <w:r w:rsidR="00691E4A">
        <w:t xml:space="preserve">. These </w:t>
      </w:r>
      <w:r w:rsidR="00802DF5">
        <w:t xml:space="preserve">were very helpful for industry in the registration process (given they are not as conservative as the generic ECHA defaults but contain sector-specific realism) and </w:t>
      </w:r>
      <w:r w:rsidR="00691E4A">
        <w:t xml:space="preserve">for </w:t>
      </w:r>
      <w:r w:rsidR="00802DF5">
        <w:t>authorities in the evaluation process (given that authorities don’t have to review applicant specific refinements multiple times but can review sector approaches once).</w:t>
      </w:r>
      <w:r w:rsidR="00BF4ED5">
        <w:t xml:space="preserve"> All the learning lessons from SPERCs can be applied in the development of SPESD.</w:t>
      </w:r>
    </w:p>
    <w:p w:rsidR="00802DF5" w:rsidRDefault="00802DF5"/>
    <w:p w:rsidR="00893D2A" w:rsidRPr="00893D2A" w:rsidRDefault="00893D2A">
      <w:pPr>
        <w:rPr>
          <w:b/>
          <w:bCs/>
        </w:rPr>
      </w:pPr>
      <w:r w:rsidRPr="00893D2A">
        <w:rPr>
          <w:b/>
          <w:bCs/>
        </w:rPr>
        <w:t>Approach</w:t>
      </w:r>
    </w:p>
    <w:p w:rsidR="00893D2A" w:rsidRDefault="00893D2A" w:rsidP="00893D2A">
      <w:pPr>
        <w:jc w:val="both"/>
      </w:pPr>
      <w:r>
        <w:t>SPESD should be based on</w:t>
      </w:r>
      <w:r>
        <w:t xml:space="preserve"> a sector-wide consultation and/or sector relevant data collection</w:t>
      </w:r>
      <w:r>
        <w:t xml:space="preserve">. Especially the latter is facilitated by </w:t>
      </w:r>
      <w:r w:rsidR="00BF4ED5">
        <w:t xml:space="preserve">several </w:t>
      </w:r>
      <w:r>
        <w:t xml:space="preserve">opportunities </w:t>
      </w:r>
      <w:r w:rsidR="00BF4ED5">
        <w:t xml:space="preserve">in </w:t>
      </w:r>
      <w:r>
        <w:t>our digitalized economy</w:t>
      </w:r>
      <w:r w:rsidR="00BF4ED5">
        <w:t xml:space="preserve"> and society</w:t>
      </w:r>
      <w:bookmarkStart w:id="0" w:name="_GoBack"/>
      <w:bookmarkEnd w:id="0"/>
      <w:r>
        <w:t xml:space="preserve">. </w:t>
      </w:r>
    </w:p>
    <w:p w:rsidR="00893D2A" w:rsidRDefault="00893D2A"/>
    <w:p w:rsidR="00893D2A" w:rsidRPr="00893D2A" w:rsidRDefault="00893D2A" w:rsidP="00893D2A">
      <w:pPr>
        <w:rPr>
          <w:b/>
          <w:bCs/>
        </w:rPr>
      </w:pPr>
      <w:r>
        <w:rPr>
          <w:b/>
          <w:bCs/>
        </w:rPr>
        <w:t>Next steps</w:t>
      </w:r>
    </w:p>
    <w:p w:rsidR="00893D2A" w:rsidRPr="00BF6482" w:rsidRDefault="00893D2A" w:rsidP="00893D2A">
      <w:pPr>
        <w:jc w:val="both"/>
      </w:pPr>
      <w:r>
        <w:t>ARCHE Consulting is looking for partners (companies or sector organizations) to develop a case study. Current proposal is to focus on p</w:t>
      </w:r>
      <w:r w:rsidRPr="00BF6482">
        <w:t>rofessional and</w:t>
      </w:r>
      <w:r>
        <w:t>/or</w:t>
      </w:r>
      <w:r w:rsidRPr="00BF6482">
        <w:t xml:space="preserve"> </w:t>
      </w:r>
      <w:r>
        <w:t>c</w:t>
      </w:r>
      <w:r w:rsidRPr="00BF6482">
        <w:t>onsumer</w:t>
      </w:r>
      <w:r>
        <w:t xml:space="preserve"> uses</w:t>
      </w:r>
      <w:r>
        <w:t xml:space="preserve"> under PT 1-5 or PT12.</w:t>
      </w:r>
    </w:p>
    <w:sectPr w:rsidR="00893D2A" w:rsidRPr="00BF6482" w:rsidSect="0064614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80898"/>
    <w:multiLevelType w:val="hybridMultilevel"/>
    <w:tmpl w:val="976A5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2"/>
    <w:rsid w:val="0027354E"/>
    <w:rsid w:val="00646140"/>
    <w:rsid w:val="00691E4A"/>
    <w:rsid w:val="00802DF5"/>
    <w:rsid w:val="0087033B"/>
    <w:rsid w:val="00893D2A"/>
    <w:rsid w:val="00B66245"/>
    <w:rsid w:val="00BF4ED5"/>
    <w:rsid w:val="00BF6482"/>
    <w:rsid w:val="00DB34D2"/>
    <w:rsid w:val="00FB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38651B"/>
  <w15:chartTrackingRefBased/>
  <w15:docId w15:val="{38473A1D-4ECF-4E4E-AE1A-90A548F93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4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5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Frederik Verdonck</dc:creator>
  <cp:keywords/>
  <dc:description/>
  <cp:lastModifiedBy>Frederik Verdonck</cp:lastModifiedBy>
  <cp:revision>8</cp:revision>
  <dcterms:created xsi:type="dcterms:W3CDTF">2019-05-23T11:35:00Z</dcterms:created>
  <dcterms:modified xsi:type="dcterms:W3CDTF">2019-05-23T13:49:00Z</dcterms:modified>
</cp:coreProperties>
</file>